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BB71B9" w:rsidRDefault="00BB71B9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B71B9" w:rsidRDefault="00BB71B9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РАЗДЕЛ 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>V. МЕТОДИКА ЗА ОПРЕДЕЛЯНЕ НА КОМПЛЕКСНАТА ОЦЕНКА НА ОФЕРТИТЕ</w:t>
      </w: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E9B" w:rsidRPr="00BB4C77" w:rsidRDefault="00580E9B" w:rsidP="00863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D0" w:rsidRPr="00BB594F" w:rsidRDefault="00407343" w:rsidP="009C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ОБЩЕСТВЕНА ПОРЪЧКА ПО </w:t>
      </w:r>
      <w:r w:rsidR="009C35D0" w:rsidRPr="00BB594F">
        <w:rPr>
          <w:rFonts w:ascii="Times New Roman" w:hAnsi="Times New Roman" w:cs="Times New Roman"/>
          <w:b/>
          <w:sz w:val="28"/>
          <w:szCs w:val="28"/>
        </w:rPr>
        <w:t>ЧЛ. 18, АЛ. 1, Т. 12 ОТ ЗОП – ПУБЛИЧНО СЪСТЕЗАНИЕ С ПРЕДМЕТ:</w:t>
      </w:r>
    </w:p>
    <w:p w:rsidR="009C35D0" w:rsidRPr="00BB594F" w:rsidRDefault="009C35D0" w:rsidP="009C3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D0" w:rsidRPr="00BB594F" w:rsidRDefault="009C35D0" w:rsidP="009C35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5D0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8C4">
        <w:rPr>
          <w:rFonts w:ascii="Times New Roman" w:eastAsia="Times New Roman" w:hAnsi="Times New Roman" w:cs="Times New Roman"/>
          <w:b/>
          <w:bCs/>
          <w:sz w:val="28"/>
          <w:szCs w:val="28"/>
        </w:rPr>
        <w:t>„ИЗРАБОТВАНЕ НА ИНВЕСТИЦИОНЕН ПРОЕКТ ЗА ОБЕКТ: „РЕКОНСТРУКЦИЯ НА ЧАСТ ОТ УЛИЧНАТА МРЕЖА НА ГРАД РАКОВСКИ, ОБЩИНА РАКОВСКИ, ОБЛАСТ ПЛОВДИВ“</w:t>
      </w: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B71B9" w:rsidRDefault="00BB71B9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ГРАД РАКОВСКИ,  201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BB71B9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415B2" w:rsidRPr="00BB4C77" w:rsidRDefault="007415B2" w:rsidP="009C35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(Настоящ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та м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етодика за комплексна оценка и начина за определяне на оценката по всеки показател на офертите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разработени на основание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чл. 70, ал. 7 от ЗОП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и са част от Документацията за обществена</w:t>
      </w:r>
      <w:r w:rsidR="00407343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поръчка съгласно чл. 31, ал. 1, т. 3 от ЗОП)</w:t>
      </w:r>
    </w:p>
    <w:p w:rsidR="007415B2" w:rsidRPr="00BB4C77" w:rsidRDefault="007415B2" w:rsidP="00863C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5A7DCE">
      <w:pPr>
        <w:suppressAutoHyphens/>
        <w:spacing w:afterLines="40" w:after="9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спецификация.</w:t>
      </w:r>
      <w:r w:rsidR="000761D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предлага за отстраняване от обществената поръчка участник, който е представил оферта, която не отговаря на предварително обявените условия на Възложителя.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BB4C77" w:rsidRDefault="00C37A7F" w:rsidP="00863C9F">
      <w:pPr>
        <w:suppressAutoHyphens/>
        <w:spacing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Оценяването и класирането на офертите се извършва по критерия за възлагане </w:t>
      </w:r>
      <w:r w:rsidRPr="00BB4C7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„оптимално съотношение качество/цена”</w:t>
      </w:r>
      <w:r w:rsidRPr="0040734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BB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B4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смисъла на чл. 70, ал. 2, т. 3 от ЗОП.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Класирането на допуснатите до оценка оферти се извършва на </w:t>
      </w:r>
      <w:r w:rsidR="0040734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база получената от всяка оферта </w:t>
      </w:r>
      <w:r w:rsidRPr="00BB4C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„Комплексна оценка“ (КО).</w:t>
      </w: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51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914"/>
        <w:gridCol w:w="2598"/>
      </w:tblGrid>
      <w:tr w:rsidR="00BB4C77" w:rsidRPr="00BB4C77" w:rsidTr="009C35D0">
        <w:trPr>
          <w:cantSplit/>
          <w:trHeight w:val="362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BBB59" w:themeFill="accent3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 – 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Максимално възможен брой точки</w:t>
            </w:r>
          </w:p>
        </w:tc>
      </w:tr>
      <w:tr w:rsidR="00BB4C77" w:rsidRPr="00BB4C77" w:rsidTr="009C35D0">
        <w:trPr>
          <w:trHeight w:val="480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C37A7F" w:rsidRPr="00BB4C77" w:rsidRDefault="00407343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П1 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Професионална компетентност на персонала, отговорен за изпълнението на проектирането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37A7F" w:rsidRPr="00BB4C77" w:rsidRDefault="004658B6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B4C77" w:rsidRPr="00BB4C77" w:rsidTr="009C35D0">
        <w:trPr>
          <w:trHeight w:val="465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:rsidR="00C37A7F" w:rsidRPr="00BB4C77" w:rsidRDefault="009C35D0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П2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Предлагана цена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37A7F" w:rsidRPr="00BB4C77" w:rsidRDefault="009C35D0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 оценка </w:t>
      </w:r>
      <w:r w:rsidR="009C35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(КО) = П1+П2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На първо място се класира участникът, събрал най-много точки. Максималният брой точки</w:t>
      </w:r>
      <w:r w:rsidR="00407343">
        <w:rPr>
          <w:rFonts w:ascii="Times New Roman" w:eastAsia="Calibri" w:hAnsi="Times New Roman" w:cs="Times New Roman"/>
          <w:sz w:val="24"/>
          <w:szCs w:val="24"/>
          <w:lang w:eastAsia="ar-SA"/>
        </w:rPr>
        <w:t>, който може да получи участник</w:t>
      </w: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е </w:t>
      </w:r>
      <w:r w:rsidRPr="007828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т.</w:t>
      </w:r>
    </w:p>
    <w:p w:rsidR="00C37A7F" w:rsidRPr="00782820" w:rsidRDefault="00C37A7F" w:rsidP="00863C9F">
      <w:pPr>
        <w:shd w:val="clear" w:color="auto" w:fill="FFFFFF"/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</w:t>
      </w:r>
      <w:r w:rsidR="004073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л. 58, ал. 1 от ППЗОП, </w:t>
      </w: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по-ниска предложена цена;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по-изгодно предложение по другите показатели, сравнени в низходящ ред съобразно тяхната тежест.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Допуснатите до оценка технически предложения на участниците се оценяват по скалата посочена по-долу при спазване на критериите за присъждане на определен брой точки.</w:t>
      </w:r>
    </w:p>
    <w:p w:rsidR="00863C9F" w:rsidRDefault="00863C9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28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Указанията за определяне на оценката по всеки показател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82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Показател П1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„</w:t>
      </w:r>
      <w:r w:rsidR="00D16573"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“</w:t>
      </w:r>
      <w:r w:rsid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 w:rsidR="00782820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брой точки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60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Начин за определяне на оценката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“:</w:t>
      </w: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EB53D2" w:rsidRDefault="00C37A7F" w:rsidP="00863C9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Точките по показател П1 ще бъдат присъждани от помощния орган на възложителя - оценителната комисия по експертна мотивирана оценка.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Оценка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="003E4D64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“ -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6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 точки.</w:t>
      </w:r>
      <w:r w:rsidRPr="003E4D6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Показател: П1 „</w:t>
      </w:r>
      <w:r w:rsidR="00D16573"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изчислява като сбор от точките по следната формула: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057715" w:rsidRDefault="0085538A" w:rsidP="00C25EB1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П1=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.1</w:t>
      </w:r>
      <w:r w:rsidR="009664C0">
        <w:rPr>
          <w:rFonts w:ascii="Times New Roman" w:eastAsia="Times New Roman" w:hAnsi="Times New Roman" w:cs="Times New Roman"/>
          <w:sz w:val="18"/>
          <w:szCs w:val="18"/>
          <w:lang w:eastAsia="ar-SA"/>
        </w:rPr>
        <w:t>(ОКЕ1+ОКЕ2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.2</w:t>
      </w:r>
      <w:r w:rsidR="009664C0">
        <w:rPr>
          <w:rFonts w:ascii="Times New Roman" w:eastAsia="Times New Roman" w:hAnsi="Times New Roman" w:cs="Times New Roman"/>
          <w:sz w:val="18"/>
          <w:szCs w:val="18"/>
          <w:lang w:eastAsia="ar-SA"/>
        </w:rPr>
        <w:t>(ПКЕ1+ПКЕ2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>където: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05771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.1 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подпоказател за наличието на професионален опит в години, на предложените от участника 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– максимален брой точки </w:t>
      </w:r>
      <w:r w:rsidR="004658B6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D16573" w:rsidRPr="00EB53D2" w:rsidRDefault="00C37A7F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ОКЕ1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1: </w:t>
      </w:r>
      <w:r w:rsidR="00D16573" w:rsidRPr="00EB53D2">
        <w:rPr>
          <w:b/>
        </w:rPr>
        <w:t>Проектант по част „</w:t>
      </w:r>
      <w:r w:rsidR="00C25EB1">
        <w:rPr>
          <w:b/>
          <w:lang w:eastAsia="bg-BG"/>
        </w:rPr>
        <w:t>Пътна</w:t>
      </w:r>
      <w:r w:rsidR="00D16573" w:rsidRPr="00EB53D2">
        <w:rPr>
          <w:b/>
        </w:rPr>
        <w:t>“</w:t>
      </w:r>
      <w:r w:rsidR="001F22D9" w:rsidRPr="00EB53D2">
        <w:rPr>
          <w:b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</w:t>
      </w:r>
      <w:r w:rsidR="00D16573" w:rsidRPr="00C25EB1">
        <w:rPr>
          <w:lang w:eastAsia="bg-BG"/>
        </w:rPr>
        <w:t xml:space="preserve">част </w:t>
      </w:r>
      <w:r w:rsidR="00C25EB1" w:rsidRPr="00C25EB1">
        <w:rPr>
          <w:lang w:eastAsia="bg-BG"/>
        </w:rPr>
        <w:t>„Пътна“</w:t>
      </w:r>
      <w:r w:rsidR="00D16573" w:rsidRPr="00C25EB1">
        <w:rPr>
          <w:lang w:eastAsia="bg-BG"/>
        </w:rPr>
        <w:t>;</w:t>
      </w:r>
    </w:p>
    <w:p w:rsidR="00D16573" w:rsidRPr="00EB53D2" w:rsidRDefault="00D16573" w:rsidP="00863C9F">
      <w:pPr>
        <w:pStyle w:val="ListParagraph"/>
        <w:ind w:left="0"/>
        <w:jc w:val="both"/>
        <w:rPr>
          <w:lang w:eastAsia="bg-BG"/>
        </w:rPr>
      </w:pPr>
    </w:p>
    <w:p w:rsidR="006A38EC" w:rsidRPr="00EB53D2" w:rsidRDefault="00C37A7F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ОКЕ2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2: </w:t>
      </w:r>
      <w:r w:rsidR="00D16573" w:rsidRPr="00EB53D2">
        <w:rPr>
          <w:b/>
          <w:bCs/>
          <w:lang w:eastAsia="bg-BG"/>
        </w:rPr>
        <w:t>Проектант по част „</w:t>
      </w:r>
      <w:r w:rsidR="00DB73AE">
        <w:rPr>
          <w:b/>
          <w:bCs/>
          <w:lang w:eastAsia="bg-BG"/>
        </w:rPr>
        <w:t>Геодезия</w:t>
      </w:r>
      <w:r w:rsidR="00D16573" w:rsidRPr="00EB53D2">
        <w:rPr>
          <w:b/>
          <w:bCs/>
          <w:lang w:eastAsia="bg-BG"/>
        </w:rPr>
        <w:t xml:space="preserve">“ </w:t>
      </w:r>
      <w:r w:rsidR="00D16573" w:rsidRPr="00EB53D2">
        <w:rPr>
          <w:lang w:eastAsia="bg-BG"/>
        </w:rPr>
        <w:t>за придобит опит, като проектант по част „</w:t>
      </w:r>
      <w:r w:rsidR="00DB73AE">
        <w:rPr>
          <w:lang w:eastAsia="bg-BG"/>
        </w:rPr>
        <w:t>Геодезия</w:t>
      </w:r>
      <w:r w:rsidR="00520241">
        <w:rPr>
          <w:lang w:eastAsia="bg-BG"/>
        </w:rPr>
        <w:t>“.</w:t>
      </w:r>
    </w:p>
    <w:p w:rsidR="006A38EC" w:rsidRPr="00EB53D2" w:rsidRDefault="006A38EC" w:rsidP="00863C9F">
      <w:pPr>
        <w:pStyle w:val="ListParagraph"/>
        <w:ind w:left="0"/>
        <w:rPr>
          <w:lang w:eastAsia="bg-BG"/>
        </w:rPr>
      </w:pPr>
    </w:p>
    <w:p w:rsidR="00057715" w:rsidRPr="00EB53D2" w:rsidRDefault="00057715" w:rsidP="00863C9F">
      <w:pPr>
        <w:pStyle w:val="ListParagraph"/>
        <w:ind w:left="0"/>
        <w:rPr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ОКЕ1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407343">
        <w:tc>
          <w:tcPr>
            <w:tcW w:w="9288" w:type="dxa"/>
            <w:shd w:val="clear" w:color="auto" w:fill="auto"/>
          </w:tcPr>
          <w:p w:rsidR="00C37A7F" w:rsidRPr="004658B6" w:rsidRDefault="00C37A7F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</w:t>
            </w:r>
            <w:r w:rsidR="00B43826"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придобит опит, като проектант по част </w:t>
            </w:r>
            <w:r w:rsidR="00C25EB1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„Пътна</w:t>
            </w:r>
            <w:r w:rsidR="00C25EB1" w:rsidRPr="00837EA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713CEC" w:rsidRPr="00620946" w:rsidRDefault="000B03E9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1 до 2</w:t>
            </w:r>
            <w:r w:rsidR="00713CEC"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– 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DB73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="00713CEC"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2 до 3</w:t>
            </w:r>
            <w:r w:rsidR="00520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 w:rsidR="000B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3 до 4</w:t>
            </w:r>
            <w:r w:rsidR="005202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включително - 9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713CEC" w:rsidRPr="00620946" w:rsidRDefault="00713CEC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="000B03E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4 до 5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години включително – 12</w:t>
            </w:r>
            <w:r w:rsidR="00BB71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0B03E9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5 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години – 15</w:t>
            </w:r>
            <w:r w:rsidR="00713CEC"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ОКЕ2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407343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DB7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Геодезия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0B03E9" w:rsidRPr="000B03E9" w:rsidRDefault="000B03E9" w:rsidP="000B03E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</w:t>
            </w:r>
            <w:r w:rsidR="005057C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 1 до 2 години включително – 3</w:t>
            </w: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0B03E9" w:rsidRPr="000B03E9" w:rsidRDefault="000B03E9" w:rsidP="000B03E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</w:t>
            </w:r>
            <w:r w:rsidR="0052024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д 2 до 3 години </w:t>
            </w:r>
            <w:r w:rsidR="005057C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включително - 6</w:t>
            </w: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0B03E9" w:rsidRPr="000B03E9" w:rsidRDefault="000B03E9" w:rsidP="000B03E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</w:t>
            </w:r>
            <w:r w:rsidR="00520241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д 3 до 4 години </w:t>
            </w:r>
            <w:r w:rsidR="005057C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включително - 9</w:t>
            </w: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0B03E9" w:rsidRPr="000B03E9" w:rsidRDefault="000B03E9" w:rsidP="000B03E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</w:t>
            </w:r>
            <w:r w:rsidR="005057C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ад 4 до 5 години включително – 12</w:t>
            </w:r>
            <w:r w:rsidR="00BB71B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620946" w:rsidRDefault="005057C3" w:rsidP="000B03E9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5 години – 15</w:t>
            </w:r>
            <w:r w:rsidR="000B03E9" w:rsidRPr="000B03E9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175FCE" w:rsidRDefault="00C37A7F" w:rsidP="00863C9F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.1 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получава, като сбор от точките, присъдени</w:t>
      </w:r>
      <w:r w:rsidR="005202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наличието на опит в години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ключови експерти.</w:t>
      </w: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.2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подпоказател за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участие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</w:t>
      </w:r>
      <w:r w:rsidR="006A38EC"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брой обекти/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проекти с</w:t>
      </w:r>
      <w:r w:rsidR="005202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ъс сходен или идентичен предмет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като изпълняващи длъжността, за която са предложени </w:t>
      </w:r>
      <w:r w:rsidR="00A61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– </w:t>
      </w:r>
      <w:r w:rsidR="00A61913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максимален брой </w:t>
      </w:r>
      <w:r w:rsidR="00A61913" w:rsidRPr="002F3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точки </w:t>
      </w:r>
      <w:r w:rsidR="00162177" w:rsidRPr="002F3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2F33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C37A7F" w:rsidRPr="00175FCE" w:rsidRDefault="00C37A7F" w:rsidP="00863C9F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8865D3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C37A7F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№ 1: 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Проектант по част „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Пътна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брой обекти/проекти, сходни с предмета на поръчката, в проектирането на които е участвал, като проектант по част „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Пътна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8865D3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КЕ2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2: Проектант по част „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част „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52024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37A7F" w:rsidRPr="008865D3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BB4C77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407343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проектирането на кои</w:t>
            </w:r>
            <w:r w:rsidR="00520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то е участвал 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като проектант по част „</w:t>
            </w:r>
            <w:r w:rsidR="00BC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Пътна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C37A7F" w:rsidRPr="00211AAB" w:rsidRDefault="00C37A7F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(минимално изискуемо ниво) –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="00BC73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C37A7F" w:rsidRPr="00211AAB" w:rsidRDefault="005057C3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6</w:t>
            </w:r>
            <w:r w:rsidR="00C37A7F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5057C3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9</w:t>
            </w:r>
            <w:r w:rsidR="00C37A7F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5057C3" w:rsidP="00863C9F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12</w:t>
            </w:r>
            <w:r w:rsidR="00C37A7F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C37A7F" w:rsidP="005057C3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 w:rsid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/проект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и</w:t>
            </w:r>
            <w:r w:rsidR="00A2320B"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BB71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211AAB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КЕ2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407343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</w:t>
            </w:r>
            <w:r w:rsidR="005202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оектирането на които е участвал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като проектант по част „</w:t>
            </w:r>
            <w:r w:rsidR="00BC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Геодезия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5057C3" w:rsidRPr="00211AAB" w:rsidRDefault="005057C3" w:rsidP="005057C3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 (минимално изискуемо ниво) –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5057C3" w:rsidRPr="00211AAB" w:rsidRDefault="005057C3" w:rsidP="005057C3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057C3" w:rsidRPr="00211AAB" w:rsidRDefault="005057C3" w:rsidP="005057C3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9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057C3" w:rsidRPr="00211AAB" w:rsidRDefault="005057C3" w:rsidP="005057C3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12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5057C3" w:rsidP="005057C3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 w:rsidR="002F33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  <w:r w:rsidR="00BB71B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211AAB" w:rsidRDefault="00211AAB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7A7F" w:rsidRPr="003842D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3842D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.2 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получава, като сбор от точките, присъдени за участие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предложените от участника </w:t>
      </w:r>
      <w:r w:rsidRPr="003842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ключови експерти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брой обекти/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проекти със сходен или идентичен предмет, като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проектант по съответната част.</w:t>
      </w:r>
    </w:p>
    <w:p w:rsidR="00C37A7F" w:rsidRPr="003842D6" w:rsidRDefault="00CD7AE6" w:rsidP="009543B8">
      <w:pPr>
        <w:suppressAutoHyphens/>
        <w:spacing w:before="240" w:after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Под „сходен </w:t>
      </w:r>
      <w:r w:rsidR="00C37A7F"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предмет“, следва да се разбира дефиницията към критериите за подбор относно „Технически и професионални способности“ от документацията за участие.</w:t>
      </w:r>
    </w:p>
    <w:p w:rsidR="00C37A7F" w:rsidRPr="009543B8" w:rsidRDefault="00C37A7F" w:rsidP="00863C9F">
      <w:pPr>
        <w:suppressAutoHyphens/>
        <w:spacing w:after="6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 основание чл. 39, ал. 3, т. 1, буква „ж“ от </w:t>
      </w:r>
      <w:r w:rsidR="005202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ППЗОП, като част от техническото си предложение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у</w:t>
      </w: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частниците са длъжни да представят 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съответни документи за доказване на обстояте</w:t>
      </w:r>
      <w:r w:rsidR="005202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лствата, посочени в техническото предложение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свързани с този показател. </w:t>
      </w:r>
    </w:p>
    <w:p w:rsidR="00741A8F" w:rsidRPr="003842D6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Участникът е длъжен да представи документи, чрез които се доказва необходимия професионален опит на предложените ключови експерти</w:t>
      </w:r>
      <w:r w:rsidRPr="003842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.</w:t>
      </w:r>
    </w:p>
    <w:p w:rsidR="00C37A7F" w:rsidRPr="003842D6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Приложените документи ще бъдат използвани за прилагане на методиката.</w:t>
      </w:r>
    </w:p>
    <w:p w:rsidR="00C37A7F" w:rsidRPr="00BB4C77" w:rsidRDefault="00C37A7F" w:rsidP="00BB71B9">
      <w:pPr>
        <w:keepNext/>
        <w:keepLines/>
        <w:widowControl w:val="0"/>
        <w:suppressAutoHyphens/>
        <w:spacing w:after="0" w:line="288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520241" w:rsidRDefault="00520241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EB53D2" w:rsidRDefault="009543B8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Показател - „Предлагана цена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“ – П2</w:t>
      </w:r>
      <w:r w:rsidR="00855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брой точки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EB53D2" w:rsidRDefault="00C37A7F" w:rsidP="00863C9F">
      <w:pPr>
        <w:suppressAutoHyphens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</w:t>
      </w:r>
    </w:p>
    <w:p w:rsidR="00C37A7F" w:rsidRPr="00EB53D2" w:rsidRDefault="009543B8" w:rsidP="00863C9F">
      <w:pPr>
        <w:tabs>
          <w:tab w:val="left" w:pos="450"/>
          <w:tab w:val="left" w:pos="567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е показател, отразява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 тежестта на предлаганата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на съответната оферта. 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нуждите на настоящата методика</w:t>
      </w:r>
      <w:r w:rsidR="009543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максималната стойност на П2 е 4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точки; 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Максимален брой точки получава офертата с предложена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най-ниска</w:t>
      </w:r>
      <w:r w:rsidR="0085538A"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F04D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обща </w:t>
      </w:r>
      <w:r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цена;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Точките на останалите участници се определят в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съотношение към най-ниската 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 цена по следната формула:</w:t>
      </w:r>
    </w:p>
    <w:p w:rsidR="00C37A7F" w:rsidRPr="00EB53D2" w:rsidRDefault="00C37A7F" w:rsidP="00863C9F">
      <w:pPr>
        <w:tabs>
          <w:tab w:val="num" w:pos="426"/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A81FA4" w:rsidRDefault="00BB71B9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 = (Amin/</w:t>
      </w:r>
      <w:r w:rsidR="009543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Ai) х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 където:</w:t>
      </w:r>
    </w:p>
    <w:p w:rsidR="00C37A7F" w:rsidRPr="00A81FA4" w:rsidRDefault="00C37A7F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Amin – представ</w:t>
      </w:r>
      <w:r w:rsidR="00E63018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лява предложената най-ниска</w:t>
      </w:r>
      <w:r w:rsidR="008553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1FA4" w:rsidRPr="009543B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</w:t>
      </w:r>
      <w:r w:rsidR="00A81FA4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за изпълнение на поръчката;</w:t>
      </w:r>
    </w:p>
    <w:p w:rsidR="00C37A7F" w:rsidRPr="00A81FA4" w:rsidRDefault="00C37A7F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Ai – представлява цената, п</w:t>
      </w:r>
      <w:r w:rsidR="0052024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редложена от i - тия  участник.</w:t>
      </w:r>
      <w:bookmarkStart w:id="0" w:name="_GoBack"/>
      <w:bookmarkEnd w:id="0"/>
    </w:p>
    <w:p w:rsidR="00C37A7F" w:rsidRPr="00A81FA4" w:rsidRDefault="00C37A7F" w:rsidP="00863C9F">
      <w:pPr>
        <w:shd w:val="clear" w:color="auto" w:fill="FFFFFF"/>
        <w:suppressAutoHyphens/>
        <w:spacing w:before="60"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A81FA4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първо място се класира този участник, чиято оферта е получила най-висока комплексна оценка. Останалите участници се класират в низходящ ред съгласно съответната им комплексна оценка.</w:t>
      </w:r>
    </w:p>
    <w:sectPr w:rsidR="00C37A7F" w:rsidRPr="00A81FA4" w:rsidSect="009C35D0">
      <w:headerReference w:type="first" r:id="rId8"/>
      <w:pgSz w:w="11906" w:h="16838"/>
      <w:pgMar w:top="1135" w:right="1133" w:bottom="141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43" w:rsidRDefault="00407343" w:rsidP="007415B2">
      <w:pPr>
        <w:spacing w:after="0" w:line="240" w:lineRule="auto"/>
      </w:pPr>
      <w:r>
        <w:separator/>
      </w:r>
    </w:p>
  </w:endnote>
  <w:endnote w:type="continuationSeparator" w:id="0">
    <w:p w:rsidR="00407343" w:rsidRDefault="00407343" w:rsidP="007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43" w:rsidRDefault="00407343" w:rsidP="007415B2">
      <w:pPr>
        <w:spacing w:after="0" w:line="240" w:lineRule="auto"/>
      </w:pPr>
      <w:r>
        <w:separator/>
      </w:r>
    </w:p>
  </w:footnote>
  <w:footnote w:type="continuationSeparator" w:id="0">
    <w:p w:rsidR="00407343" w:rsidRDefault="00407343" w:rsidP="0074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407343" w:rsidRPr="00EF1652" w:rsidTr="00407343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407343" w:rsidRPr="00EF1652" w:rsidRDefault="00407343" w:rsidP="00407343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4A6138E2" wp14:editId="0ED0205A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407343" w:rsidRPr="00BB71B9" w:rsidRDefault="00407343" w:rsidP="00407343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40"/>
              <w:szCs w:val="40"/>
              <w:u w:val="single"/>
              <w:lang w:val="en-AU" w:eastAsia="bg-BG"/>
            </w:rPr>
          </w:pPr>
          <w:r>
            <w:rPr>
              <w:rFonts w:ascii="Cambria" w:eastAsia="Palatino Linotype" w:hAnsi="Cambria" w:cs="Palatino Linotype"/>
              <w:b/>
              <w:sz w:val="40"/>
              <w:szCs w:val="40"/>
              <w:u w:val="single"/>
              <w:lang w:val="en-AU" w:eastAsia="bg-BG"/>
            </w:rPr>
            <w:t xml:space="preserve">ОБЩИНА РАКОВСКИ, ОБЛАСТ </w:t>
          </w:r>
          <w:r w:rsidRPr="00BB71B9">
            <w:rPr>
              <w:rFonts w:ascii="Cambria" w:eastAsia="Palatino Linotype" w:hAnsi="Cambria" w:cs="Palatino Linotype"/>
              <w:b/>
              <w:sz w:val="40"/>
              <w:szCs w:val="40"/>
              <w:u w:val="single"/>
              <w:lang w:val="en-AU" w:eastAsia="bg-BG"/>
            </w:rPr>
            <w:t>ПЛОВДИВ</w:t>
          </w:r>
        </w:p>
        <w:p w:rsidR="00407343" w:rsidRPr="00BB71B9" w:rsidRDefault="00407343" w:rsidP="00407343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18"/>
              <w:szCs w:val="18"/>
              <w:lang w:val="en-AU" w:eastAsia="bg-BG"/>
            </w:rPr>
          </w:pPr>
          <w:proofErr w:type="spellStart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п.к</w:t>
          </w:r>
          <w:proofErr w:type="spellEnd"/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.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4150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,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</w:t>
          </w:r>
          <w:proofErr w:type="spellStart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пл</w:t>
          </w:r>
          <w:proofErr w:type="spellEnd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. 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„</w:t>
          </w:r>
          <w:proofErr w:type="spellStart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България</w:t>
          </w:r>
          <w:proofErr w:type="spellEnd"/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“ № 1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, </w:t>
          </w:r>
          <w:proofErr w:type="spellStart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тел</w:t>
          </w:r>
          <w:proofErr w:type="spellEnd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.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: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 xml:space="preserve"> 03151/2260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 xml:space="preserve">, </w:t>
          </w:r>
          <w:proofErr w:type="spellStart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факс</w:t>
          </w:r>
          <w:proofErr w:type="spellEnd"/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: 03151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eastAsia="bg-BG"/>
            </w:rPr>
            <w:t>/</w:t>
          </w:r>
          <w:r w:rsidRPr="00BB71B9">
            <w:rPr>
              <w:rFonts w:ascii="Cambria" w:eastAsia="Palatino Linotype" w:hAnsi="Cambria" w:cs="Palatino Linotype"/>
              <w:sz w:val="18"/>
              <w:szCs w:val="18"/>
              <w:lang w:val="en-AU" w:eastAsia="bg-BG"/>
            </w:rPr>
            <w:t>2361, e-mail: oa@rakovski.bg</w:t>
          </w:r>
        </w:p>
      </w:tc>
    </w:tr>
  </w:tbl>
  <w:p w:rsidR="00407343" w:rsidRDefault="00407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E86F08"/>
    <w:multiLevelType w:val="hybridMultilevel"/>
    <w:tmpl w:val="21F8A3CC"/>
    <w:lvl w:ilvl="0" w:tplc="C242E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1B2"/>
    <w:multiLevelType w:val="hybridMultilevel"/>
    <w:tmpl w:val="243EE5BC"/>
    <w:lvl w:ilvl="0" w:tplc="ECCAA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757E9"/>
    <w:multiLevelType w:val="hybridMultilevel"/>
    <w:tmpl w:val="6A04BB9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7C659A4"/>
    <w:multiLevelType w:val="hybridMultilevel"/>
    <w:tmpl w:val="85D23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A"/>
    <w:rsid w:val="0000606D"/>
    <w:rsid w:val="00057715"/>
    <w:rsid w:val="000657A6"/>
    <w:rsid w:val="000677F2"/>
    <w:rsid w:val="000761D7"/>
    <w:rsid w:val="0009445A"/>
    <w:rsid w:val="000B03E9"/>
    <w:rsid w:val="000D08D2"/>
    <w:rsid w:val="000E26E8"/>
    <w:rsid w:val="000E3B53"/>
    <w:rsid w:val="00116537"/>
    <w:rsid w:val="001413FC"/>
    <w:rsid w:val="0015296F"/>
    <w:rsid w:val="00157FBB"/>
    <w:rsid w:val="00162177"/>
    <w:rsid w:val="00163C9C"/>
    <w:rsid w:val="00175FCE"/>
    <w:rsid w:val="001B39CF"/>
    <w:rsid w:val="001B45D7"/>
    <w:rsid w:val="001C2B44"/>
    <w:rsid w:val="001F0EDF"/>
    <w:rsid w:val="001F22D9"/>
    <w:rsid w:val="00202580"/>
    <w:rsid w:val="00211AAB"/>
    <w:rsid w:val="00211C62"/>
    <w:rsid w:val="00216F4D"/>
    <w:rsid w:val="002543CF"/>
    <w:rsid w:val="00263AF7"/>
    <w:rsid w:val="002F33B1"/>
    <w:rsid w:val="003162D4"/>
    <w:rsid w:val="003446E2"/>
    <w:rsid w:val="00353705"/>
    <w:rsid w:val="003604E8"/>
    <w:rsid w:val="003736D7"/>
    <w:rsid w:val="00383D95"/>
    <w:rsid w:val="003842D6"/>
    <w:rsid w:val="003E4D64"/>
    <w:rsid w:val="003F76AC"/>
    <w:rsid w:val="00407343"/>
    <w:rsid w:val="00417699"/>
    <w:rsid w:val="00426449"/>
    <w:rsid w:val="004658B6"/>
    <w:rsid w:val="00465C81"/>
    <w:rsid w:val="004A116F"/>
    <w:rsid w:val="004C085B"/>
    <w:rsid w:val="004C7005"/>
    <w:rsid w:val="005057C3"/>
    <w:rsid w:val="0051232D"/>
    <w:rsid w:val="00520241"/>
    <w:rsid w:val="0052181C"/>
    <w:rsid w:val="00524030"/>
    <w:rsid w:val="0053672B"/>
    <w:rsid w:val="005378AF"/>
    <w:rsid w:val="00580E9B"/>
    <w:rsid w:val="00581528"/>
    <w:rsid w:val="005A3B9B"/>
    <w:rsid w:val="005A7DCE"/>
    <w:rsid w:val="005C175C"/>
    <w:rsid w:val="005E0C85"/>
    <w:rsid w:val="005E2C33"/>
    <w:rsid w:val="00620946"/>
    <w:rsid w:val="00671CA5"/>
    <w:rsid w:val="00680335"/>
    <w:rsid w:val="0068455E"/>
    <w:rsid w:val="006A38EC"/>
    <w:rsid w:val="006E21EF"/>
    <w:rsid w:val="0071052E"/>
    <w:rsid w:val="00713CEC"/>
    <w:rsid w:val="00713ED5"/>
    <w:rsid w:val="007415B2"/>
    <w:rsid w:val="00741A8F"/>
    <w:rsid w:val="007749C2"/>
    <w:rsid w:val="00782820"/>
    <w:rsid w:val="007C4B96"/>
    <w:rsid w:val="007D4E87"/>
    <w:rsid w:val="0080530D"/>
    <w:rsid w:val="0085538A"/>
    <w:rsid w:val="00863C9F"/>
    <w:rsid w:val="00870E66"/>
    <w:rsid w:val="00882C4E"/>
    <w:rsid w:val="008865D3"/>
    <w:rsid w:val="008A5BB8"/>
    <w:rsid w:val="00902C4A"/>
    <w:rsid w:val="009543B8"/>
    <w:rsid w:val="009664C0"/>
    <w:rsid w:val="00985103"/>
    <w:rsid w:val="009931DB"/>
    <w:rsid w:val="009A5FBB"/>
    <w:rsid w:val="009C35D0"/>
    <w:rsid w:val="009C4470"/>
    <w:rsid w:val="00A2320B"/>
    <w:rsid w:val="00A24658"/>
    <w:rsid w:val="00A31FA4"/>
    <w:rsid w:val="00A32F36"/>
    <w:rsid w:val="00A61913"/>
    <w:rsid w:val="00A71AD9"/>
    <w:rsid w:val="00A77720"/>
    <w:rsid w:val="00A81FA4"/>
    <w:rsid w:val="00AE2B8A"/>
    <w:rsid w:val="00AF3B22"/>
    <w:rsid w:val="00B306E2"/>
    <w:rsid w:val="00B40550"/>
    <w:rsid w:val="00B43826"/>
    <w:rsid w:val="00B514FF"/>
    <w:rsid w:val="00B92F6C"/>
    <w:rsid w:val="00B96284"/>
    <w:rsid w:val="00BB0E35"/>
    <w:rsid w:val="00BB4C77"/>
    <w:rsid w:val="00BB5EDB"/>
    <w:rsid w:val="00BB71B9"/>
    <w:rsid w:val="00BC7314"/>
    <w:rsid w:val="00BD1C72"/>
    <w:rsid w:val="00BE15D0"/>
    <w:rsid w:val="00C223DD"/>
    <w:rsid w:val="00C25EB1"/>
    <w:rsid w:val="00C35294"/>
    <w:rsid w:val="00C37A7F"/>
    <w:rsid w:val="00C5581E"/>
    <w:rsid w:val="00C62317"/>
    <w:rsid w:val="00C66F44"/>
    <w:rsid w:val="00C70720"/>
    <w:rsid w:val="00C853F0"/>
    <w:rsid w:val="00C901DD"/>
    <w:rsid w:val="00C95A7F"/>
    <w:rsid w:val="00CA16E5"/>
    <w:rsid w:val="00CA7C62"/>
    <w:rsid w:val="00CC3E8A"/>
    <w:rsid w:val="00CD7AE6"/>
    <w:rsid w:val="00CF2464"/>
    <w:rsid w:val="00CF4E72"/>
    <w:rsid w:val="00D16573"/>
    <w:rsid w:val="00D21D87"/>
    <w:rsid w:val="00D46E58"/>
    <w:rsid w:val="00D66ABC"/>
    <w:rsid w:val="00D90E4C"/>
    <w:rsid w:val="00DB73AE"/>
    <w:rsid w:val="00DE3C67"/>
    <w:rsid w:val="00E2346D"/>
    <w:rsid w:val="00E2695B"/>
    <w:rsid w:val="00E36078"/>
    <w:rsid w:val="00E63018"/>
    <w:rsid w:val="00E63C7D"/>
    <w:rsid w:val="00E9778F"/>
    <w:rsid w:val="00EB53D2"/>
    <w:rsid w:val="00F03FBF"/>
    <w:rsid w:val="00F04DDF"/>
    <w:rsid w:val="00F06C86"/>
    <w:rsid w:val="00F84F23"/>
    <w:rsid w:val="00F94C1B"/>
    <w:rsid w:val="00FA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Foot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BalloonTextChar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FooterChar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BalloonTextChar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C9EC8EE7</Template>
  <TotalTime>25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Мариета Димитрова</dc:creator>
  <cp:lastModifiedBy>Мариета Димитрова</cp:lastModifiedBy>
  <cp:revision>4</cp:revision>
  <dcterms:created xsi:type="dcterms:W3CDTF">2019-05-23T07:30:00Z</dcterms:created>
  <dcterms:modified xsi:type="dcterms:W3CDTF">2019-05-23T11:19:00Z</dcterms:modified>
</cp:coreProperties>
</file>